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cme" w:cs="Acme" w:eastAsia="Acme" w:hAnsi="Acme"/>
          <w:vertAlign w:val="baseline"/>
        </w:rPr>
      </w:pPr>
      <w:r w:rsidDel="00000000" w:rsidR="00000000" w:rsidRPr="00000000">
        <w:rPr>
          <w:rFonts w:ascii="Acme" w:cs="Acme" w:eastAsia="Acme" w:hAnsi="Acme"/>
          <w:b w:val="1"/>
          <w:rtl w:val="0"/>
        </w:rPr>
        <w:t xml:space="preserve">United States History</w:t>
      </w:r>
      <w:r w:rsidDel="00000000" w:rsidR="00000000" w:rsidRPr="00000000">
        <w:rPr>
          <w:rFonts w:ascii="Acme" w:cs="Acme" w:eastAsia="Acme" w:hAnsi="Acme"/>
          <w:b w:val="1"/>
          <w:rtl w:val="0"/>
        </w:rPr>
        <w:t xml:space="preserve"> </w:t>
      </w:r>
      <w:r w:rsidDel="00000000" w:rsidR="00000000" w:rsidRPr="00000000">
        <w:rPr>
          <w:rtl w:val="0"/>
        </w:rPr>
      </w:r>
    </w:p>
    <w:p w:rsidR="00000000" w:rsidDel="00000000" w:rsidP="00000000" w:rsidRDefault="00000000" w:rsidRPr="00000000" w14:paraId="00000002">
      <w:pPr>
        <w:pageBreakBefore w:val="0"/>
        <w:jc w:val="center"/>
        <w:rPr>
          <w:rFonts w:ascii="Acme" w:cs="Acme" w:eastAsia="Acme" w:hAnsi="Acme"/>
          <w:vertAlign w:val="baseline"/>
        </w:rPr>
      </w:pPr>
      <w:r w:rsidDel="00000000" w:rsidR="00000000" w:rsidRPr="00000000">
        <w:rPr>
          <w:rFonts w:ascii="Acme" w:cs="Acme" w:eastAsia="Acme" w:hAnsi="Acme"/>
          <w:b w:val="1"/>
          <w:vertAlign w:val="baseline"/>
          <w:rtl w:val="0"/>
        </w:rPr>
        <w:t xml:space="preserve">Thomas County Central High School</w:t>
      </w:r>
      <w:r w:rsidDel="00000000" w:rsidR="00000000" w:rsidRPr="00000000">
        <w:rPr>
          <w:rtl w:val="0"/>
        </w:rPr>
      </w:r>
    </w:p>
    <w:p w:rsidR="00000000" w:rsidDel="00000000" w:rsidP="00000000" w:rsidRDefault="00000000" w:rsidRPr="00000000" w14:paraId="00000003">
      <w:pPr>
        <w:pageBreakBefore w:val="0"/>
        <w:rPr>
          <w:rFonts w:ascii="Acme" w:cs="Acme" w:eastAsia="Acme" w:hAnsi="Acme"/>
          <w:sz w:val="22"/>
          <w:szCs w:val="22"/>
          <w:vertAlign w:val="baseline"/>
        </w:rPr>
      </w:pPr>
      <w:r w:rsidDel="00000000" w:rsidR="00000000" w:rsidRPr="00000000">
        <w:rPr>
          <w:rtl w:val="0"/>
        </w:rPr>
      </w:r>
    </w:p>
    <w:p w:rsidR="00000000" w:rsidDel="00000000" w:rsidP="00000000" w:rsidRDefault="00000000" w:rsidRPr="00000000" w14:paraId="00000004">
      <w:pPr>
        <w:pageBreakBefore w:val="0"/>
        <w:rPr>
          <w:rFonts w:ascii="Acme" w:cs="Acme" w:eastAsia="Acme" w:hAnsi="Acme"/>
          <w:sz w:val="22"/>
          <w:szCs w:val="22"/>
        </w:rPr>
      </w:pPr>
      <w:r w:rsidDel="00000000" w:rsidR="00000000" w:rsidRPr="00000000">
        <w:rPr>
          <w:rFonts w:ascii="Acme" w:cs="Acme" w:eastAsia="Acme" w:hAnsi="Acme"/>
          <w:b w:val="1"/>
          <w:sz w:val="22"/>
          <w:szCs w:val="22"/>
          <w:rtl w:val="0"/>
        </w:rPr>
        <w:t xml:space="preserve">COURSE DESCRIPTION:  </w:t>
      </w:r>
      <w:r w:rsidDel="00000000" w:rsidR="00000000" w:rsidRPr="00000000">
        <w:rPr>
          <w:rFonts w:ascii="Acme" w:cs="Acme" w:eastAsia="Acme" w:hAnsi="Acme"/>
          <w:sz w:val="22"/>
          <w:szCs w:val="22"/>
          <w:rtl w:val="0"/>
        </w:rPr>
        <w:t xml:space="preserve">The main purpose of this course is to provide students with a comprehensive survey of American History that will help them understand their own era. The course will show the continuity of History, the sweeping forces that shaped events and influences of each era upon succeeding times.  </w:t>
      </w:r>
    </w:p>
    <w:p w:rsidR="00000000" w:rsidDel="00000000" w:rsidP="00000000" w:rsidRDefault="00000000" w:rsidRPr="00000000" w14:paraId="00000005">
      <w:pPr>
        <w:pageBreakBefore w:val="0"/>
        <w:rPr>
          <w:rFonts w:ascii="Acme" w:cs="Acme" w:eastAsia="Acme" w:hAnsi="Acme"/>
          <w:b w:val="1"/>
          <w:sz w:val="22"/>
          <w:szCs w:val="22"/>
        </w:rPr>
      </w:pPr>
      <w:r w:rsidDel="00000000" w:rsidR="00000000" w:rsidRPr="00000000">
        <w:rPr>
          <w:rtl w:val="0"/>
        </w:rPr>
      </w:r>
    </w:p>
    <w:p w:rsidR="00000000" w:rsidDel="00000000" w:rsidP="00000000" w:rsidRDefault="00000000" w:rsidRPr="00000000" w14:paraId="00000006">
      <w:pPr>
        <w:pageBreakBefore w:val="0"/>
        <w:rPr>
          <w:rFonts w:ascii="Acme" w:cs="Acme" w:eastAsia="Acme" w:hAnsi="Acme"/>
          <w:sz w:val="22"/>
          <w:szCs w:val="22"/>
        </w:rPr>
      </w:pPr>
      <w:r w:rsidDel="00000000" w:rsidR="00000000" w:rsidRPr="00000000">
        <w:rPr>
          <w:rFonts w:ascii="Acme" w:cs="Acme" w:eastAsia="Acme" w:hAnsi="Acme"/>
          <w:b w:val="1"/>
          <w:sz w:val="22"/>
          <w:szCs w:val="22"/>
          <w:vertAlign w:val="baseline"/>
          <w:rtl w:val="0"/>
        </w:rPr>
        <w:t xml:space="preserve">TEXT:  </w:t>
      </w:r>
      <w:r w:rsidDel="00000000" w:rsidR="00000000" w:rsidRPr="00000000">
        <w:rPr>
          <w:rFonts w:ascii="Acme" w:cs="Acme" w:eastAsia="Acme" w:hAnsi="Acme"/>
          <w:i w:val="1"/>
          <w:sz w:val="22"/>
          <w:szCs w:val="22"/>
          <w:rtl w:val="0"/>
        </w:rPr>
        <w:t xml:space="preserve">A Nation Conceived in Liberty: US History for the Georgia EOC Assessment</w:t>
      </w:r>
      <w:r w:rsidDel="00000000" w:rsidR="00000000" w:rsidRPr="00000000">
        <w:rPr>
          <w:rFonts w:ascii="Acme" w:cs="Acme" w:eastAsia="Acme" w:hAnsi="Acme"/>
          <w:sz w:val="22"/>
          <w:szCs w:val="22"/>
          <w:rtl w:val="0"/>
        </w:rPr>
        <w:t xml:space="preserve"> Author- Mark Jarrett, Ph.D.</w:t>
      </w:r>
    </w:p>
    <w:p w:rsidR="00000000" w:rsidDel="00000000" w:rsidP="00000000" w:rsidRDefault="00000000" w:rsidRPr="00000000" w14:paraId="00000007">
      <w:pPr>
        <w:pageBreakBefore w:val="0"/>
        <w:rPr>
          <w:rFonts w:ascii="Acme" w:cs="Acme" w:eastAsia="Acme" w:hAnsi="Acme"/>
          <w:sz w:val="22"/>
          <w:szCs w:val="22"/>
        </w:rPr>
      </w:pPr>
      <w:r w:rsidDel="00000000" w:rsidR="00000000" w:rsidRPr="00000000">
        <w:rPr>
          <w:rFonts w:ascii="Acme" w:cs="Acme" w:eastAsia="Acme" w:hAnsi="Acme"/>
          <w:sz w:val="22"/>
          <w:szCs w:val="22"/>
          <w:rtl w:val="0"/>
        </w:rPr>
        <w:t xml:space="preserve">Everything you need from the book, will be provided by Ms. Tanner during class. </w:t>
      </w:r>
    </w:p>
    <w:p w:rsidR="00000000" w:rsidDel="00000000" w:rsidP="00000000" w:rsidRDefault="00000000" w:rsidRPr="00000000" w14:paraId="00000008">
      <w:pPr>
        <w:pageBreakBefore w:val="0"/>
        <w:rPr>
          <w:rFonts w:ascii="Acme" w:cs="Acme" w:eastAsia="Acme" w:hAnsi="Acme"/>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cme" w:cs="Acme" w:eastAsia="Acme" w:hAnsi="Acme"/>
          <w:sz w:val="22"/>
          <w:szCs w:val="22"/>
          <w:vertAlign w:val="baseline"/>
        </w:rPr>
      </w:pPr>
      <w:r w:rsidDel="00000000" w:rsidR="00000000" w:rsidRPr="00000000">
        <w:rPr>
          <w:rtl w:val="0"/>
        </w:rPr>
      </w:r>
    </w:p>
    <w:p w:rsidR="00000000" w:rsidDel="00000000" w:rsidP="00000000" w:rsidRDefault="00000000" w:rsidRPr="00000000" w14:paraId="0000000A">
      <w:pPr>
        <w:pageBreakBefore w:val="0"/>
        <w:rPr>
          <w:rFonts w:ascii="Acme" w:cs="Acme" w:eastAsia="Acme" w:hAnsi="Acme"/>
          <w:sz w:val="22"/>
          <w:szCs w:val="22"/>
          <w:vertAlign w:val="baseline"/>
        </w:rPr>
      </w:pPr>
      <w:r w:rsidDel="00000000" w:rsidR="00000000" w:rsidRPr="00000000">
        <w:rPr>
          <w:rFonts w:ascii="Acme" w:cs="Acme" w:eastAsia="Acme" w:hAnsi="Acme"/>
          <w:b w:val="1"/>
          <w:sz w:val="22"/>
          <w:szCs w:val="22"/>
          <w:vertAlign w:val="baseline"/>
          <w:rtl w:val="0"/>
        </w:rPr>
        <w:t xml:space="preserve">GRADING POLICY:</w:t>
      </w:r>
      <w:r w:rsidDel="00000000" w:rsidR="00000000" w:rsidRPr="00000000">
        <w:rPr>
          <w:rFonts w:ascii="Acme" w:cs="Acme" w:eastAsia="Acme" w:hAnsi="Acme"/>
          <w:b w:val="1"/>
          <w:sz w:val="22"/>
          <w:szCs w:val="22"/>
          <w:rtl w:val="0"/>
        </w:rPr>
        <w:tab/>
      </w:r>
      <w:r w:rsidDel="00000000" w:rsidR="00000000" w:rsidRPr="00000000">
        <w:rPr>
          <w:rFonts w:ascii="Acme" w:cs="Acme" w:eastAsia="Acme" w:hAnsi="Acme"/>
          <w:sz w:val="22"/>
          <w:szCs w:val="22"/>
          <w:rtl w:val="0"/>
        </w:rPr>
        <w:t xml:space="preserve">5</w:t>
      </w:r>
      <w:r w:rsidDel="00000000" w:rsidR="00000000" w:rsidRPr="00000000">
        <w:rPr>
          <w:rFonts w:ascii="Acme" w:cs="Acme" w:eastAsia="Acme" w:hAnsi="Acme"/>
          <w:sz w:val="22"/>
          <w:szCs w:val="22"/>
          <w:vertAlign w:val="baseline"/>
          <w:rtl w:val="0"/>
        </w:rPr>
        <w:t xml:space="preserve">0%</w:t>
      </w:r>
      <w:r w:rsidDel="00000000" w:rsidR="00000000" w:rsidRPr="00000000">
        <w:rPr>
          <w:rFonts w:ascii="Acme" w:cs="Acme" w:eastAsia="Acme" w:hAnsi="Acme"/>
          <w:sz w:val="22"/>
          <w:szCs w:val="22"/>
          <w:rtl w:val="0"/>
        </w:rPr>
        <w:t xml:space="preserve"> Assessments/Projects</w:t>
      </w:r>
      <w:r w:rsidDel="00000000" w:rsidR="00000000" w:rsidRPr="00000000">
        <w:rPr>
          <w:rtl w:val="0"/>
        </w:rPr>
      </w:r>
    </w:p>
    <w:p w:rsidR="00000000" w:rsidDel="00000000" w:rsidP="00000000" w:rsidRDefault="00000000" w:rsidRPr="00000000" w14:paraId="0000000B">
      <w:pPr>
        <w:pageBreakBefore w:val="0"/>
        <w:ind w:left="1440" w:firstLine="720"/>
        <w:rPr>
          <w:rFonts w:ascii="Acme" w:cs="Acme" w:eastAsia="Acme" w:hAnsi="Acme"/>
          <w:sz w:val="22"/>
          <w:szCs w:val="22"/>
        </w:rPr>
      </w:pPr>
      <w:r w:rsidDel="00000000" w:rsidR="00000000" w:rsidRPr="00000000">
        <w:rPr>
          <w:rFonts w:ascii="Acme" w:cs="Acme" w:eastAsia="Acme" w:hAnsi="Acme"/>
          <w:sz w:val="22"/>
          <w:szCs w:val="22"/>
          <w:vertAlign w:val="baseline"/>
          <w:rtl w:val="0"/>
        </w:rPr>
        <w:t xml:space="preserve"> </w:t>
      </w:r>
      <w:r w:rsidDel="00000000" w:rsidR="00000000" w:rsidRPr="00000000">
        <w:rPr>
          <w:rFonts w:ascii="Acme" w:cs="Acme" w:eastAsia="Acme" w:hAnsi="Acme"/>
          <w:sz w:val="22"/>
          <w:szCs w:val="22"/>
          <w:rtl w:val="0"/>
        </w:rPr>
        <w:t xml:space="preserve">4</w:t>
      </w:r>
      <w:r w:rsidDel="00000000" w:rsidR="00000000" w:rsidRPr="00000000">
        <w:rPr>
          <w:rFonts w:ascii="Acme" w:cs="Acme" w:eastAsia="Acme" w:hAnsi="Acme"/>
          <w:sz w:val="22"/>
          <w:szCs w:val="22"/>
          <w:vertAlign w:val="baseline"/>
          <w:rtl w:val="0"/>
        </w:rPr>
        <w:t xml:space="preserve">0%</w:t>
      </w:r>
      <w:r w:rsidDel="00000000" w:rsidR="00000000" w:rsidRPr="00000000">
        <w:rPr>
          <w:rFonts w:ascii="Acme" w:cs="Acme" w:eastAsia="Acme" w:hAnsi="Acme"/>
          <w:sz w:val="22"/>
          <w:szCs w:val="22"/>
          <w:rtl w:val="0"/>
        </w:rPr>
        <w:t xml:space="preserve"> Classwork</w:t>
      </w:r>
    </w:p>
    <w:p w:rsidR="00000000" w:rsidDel="00000000" w:rsidP="00000000" w:rsidRDefault="00000000" w:rsidRPr="00000000" w14:paraId="0000000C">
      <w:pPr>
        <w:pageBreakBefore w:val="0"/>
        <w:ind w:left="1440" w:firstLine="720"/>
        <w:rPr>
          <w:rFonts w:ascii="Acme" w:cs="Acme" w:eastAsia="Acme" w:hAnsi="Acme"/>
          <w:sz w:val="22"/>
          <w:szCs w:val="22"/>
        </w:rPr>
      </w:pPr>
      <w:r w:rsidDel="00000000" w:rsidR="00000000" w:rsidRPr="00000000">
        <w:rPr>
          <w:rFonts w:ascii="Acme" w:cs="Acme" w:eastAsia="Acme" w:hAnsi="Acme"/>
          <w:sz w:val="22"/>
          <w:szCs w:val="22"/>
          <w:rtl w:val="0"/>
        </w:rPr>
        <w:t xml:space="preserve">1</w:t>
      </w:r>
      <w:r w:rsidDel="00000000" w:rsidR="00000000" w:rsidRPr="00000000">
        <w:rPr>
          <w:rFonts w:ascii="Acme" w:cs="Acme" w:eastAsia="Acme" w:hAnsi="Acme"/>
          <w:sz w:val="22"/>
          <w:szCs w:val="22"/>
          <w:vertAlign w:val="baseline"/>
          <w:rtl w:val="0"/>
        </w:rPr>
        <w:t xml:space="preserve">0%</w:t>
      </w:r>
      <w:r w:rsidDel="00000000" w:rsidR="00000000" w:rsidRPr="00000000">
        <w:rPr>
          <w:rFonts w:ascii="Acme" w:cs="Acme" w:eastAsia="Acme" w:hAnsi="Acme"/>
          <w:sz w:val="22"/>
          <w:szCs w:val="22"/>
          <w:rtl w:val="0"/>
        </w:rPr>
        <w:t xml:space="preserve"> </w:t>
      </w:r>
      <w:r w:rsidDel="00000000" w:rsidR="00000000" w:rsidRPr="00000000">
        <w:rPr>
          <w:rFonts w:ascii="Acme" w:cs="Acme" w:eastAsia="Acme" w:hAnsi="Acme"/>
          <w:sz w:val="22"/>
          <w:szCs w:val="22"/>
          <w:vertAlign w:val="baseline"/>
          <w:rtl w:val="0"/>
        </w:rPr>
        <w:t xml:space="preserve">Benchmark Exam</w:t>
      </w:r>
      <w:r w:rsidDel="00000000" w:rsidR="00000000" w:rsidRPr="00000000">
        <w:rPr>
          <w:rtl w:val="0"/>
        </w:rPr>
      </w:r>
    </w:p>
    <w:p w:rsidR="00000000" w:rsidDel="00000000" w:rsidP="00000000" w:rsidRDefault="00000000" w:rsidRPr="00000000" w14:paraId="0000000D">
      <w:pPr>
        <w:pageBreakBefore w:val="0"/>
        <w:ind w:left="1080" w:firstLine="0"/>
        <w:rPr>
          <w:rFonts w:ascii="Acme" w:cs="Acme" w:eastAsia="Acme" w:hAnsi="Acme"/>
          <w:sz w:val="16"/>
          <w:szCs w:val="16"/>
        </w:rPr>
      </w:pPr>
      <w:r w:rsidDel="00000000" w:rsidR="00000000" w:rsidRPr="00000000">
        <w:rPr>
          <w:rtl w:val="0"/>
        </w:rPr>
      </w:r>
    </w:p>
    <w:p w:rsidR="00000000" w:rsidDel="00000000" w:rsidP="00000000" w:rsidRDefault="00000000" w:rsidRPr="00000000" w14:paraId="0000000E">
      <w:pPr>
        <w:pageBreakBefore w:val="0"/>
        <w:ind w:left="0" w:firstLine="0"/>
        <w:rPr>
          <w:rFonts w:ascii="Acme" w:cs="Acme" w:eastAsia="Acme" w:hAnsi="Acme"/>
          <w:sz w:val="22"/>
          <w:szCs w:val="22"/>
        </w:rPr>
      </w:pPr>
      <w:r w:rsidDel="00000000" w:rsidR="00000000" w:rsidRPr="00000000">
        <w:rPr>
          <w:rFonts w:ascii="Acme" w:cs="Acme" w:eastAsia="Acme" w:hAnsi="Acme"/>
          <w:b w:val="1"/>
          <w:sz w:val="22"/>
          <w:szCs w:val="22"/>
          <w:rtl w:val="0"/>
        </w:rPr>
        <w:t xml:space="preserve">GEORGIA MILESTONE</w:t>
      </w:r>
      <w:r w:rsidDel="00000000" w:rsidR="00000000" w:rsidRPr="00000000">
        <w:rPr>
          <w:rFonts w:ascii="Acme" w:cs="Acme" w:eastAsia="Acme" w:hAnsi="Acme"/>
          <w:sz w:val="22"/>
          <w:szCs w:val="22"/>
          <w:rtl w:val="0"/>
        </w:rPr>
        <w:t xml:space="preserve">- It is important that all students and parents understand that the State of Georgia requires all U.S. History students to take a Georgia Milestone Exam in U.S. History. This test will count 20% of the student’s final grade. All U.S. History students will take the Georgia EOC Milestone May 10, 2023. Because the test is given at the end of the year, it is very important that the student work as hard as possible in class on all class assignments throughout the year.</w:t>
      </w:r>
    </w:p>
    <w:p w:rsidR="00000000" w:rsidDel="00000000" w:rsidP="00000000" w:rsidRDefault="00000000" w:rsidRPr="00000000" w14:paraId="0000000F">
      <w:pPr>
        <w:pageBreakBefore w:val="0"/>
        <w:ind w:left="720" w:firstLine="0"/>
        <w:rPr>
          <w:rFonts w:ascii="Acme" w:cs="Acme" w:eastAsia="Acme" w:hAnsi="Acme"/>
          <w:sz w:val="22"/>
          <w:szCs w:val="22"/>
        </w:rPr>
      </w:pPr>
      <w:r w:rsidDel="00000000" w:rsidR="00000000" w:rsidRPr="00000000">
        <w:rPr>
          <w:rFonts w:ascii="Acme" w:cs="Acme" w:eastAsia="Acme" w:hAnsi="Acme"/>
          <w:sz w:val="22"/>
          <w:szCs w:val="22"/>
          <w:rtl w:val="0"/>
        </w:rPr>
        <w:t xml:space="preserve">Ex. Student receives a 70% for a final average for the year (four markings period average) this equals 80% of his/her grade. ( 70 x .8= 56%)</w:t>
      </w:r>
    </w:p>
    <w:p w:rsidR="00000000" w:rsidDel="00000000" w:rsidP="00000000" w:rsidRDefault="00000000" w:rsidRPr="00000000" w14:paraId="00000010">
      <w:pPr>
        <w:pageBreakBefore w:val="0"/>
        <w:ind w:left="720" w:firstLine="0"/>
        <w:rPr>
          <w:rFonts w:ascii="Acme" w:cs="Acme" w:eastAsia="Acme" w:hAnsi="Acme"/>
          <w:sz w:val="22"/>
          <w:szCs w:val="22"/>
        </w:rPr>
      </w:pPr>
      <w:r w:rsidDel="00000000" w:rsidR="00000000" w:rsidRPr="00000000">
        <w:rPr>
          <w:rFonts w:ascii="Acme" w:cs="Acme" w:eastAsia="Acme" w:hAnsi="Acme"/>
          <w:sz w:val="22"/>
          <w:szCs w:val="22"/>
          <w:rtl w:val="0"/>
        </w:rPr>
        <w:t xml:space="preserve">Student takes milestone and receives a 40%, this will be 20% of the student’s grade (40 x .2=8%) This student’s Grade would be failing with 56+8=64%</w:t>
      </w:r>
    </w:p>
    <w:p w:rsidR="00000000" w:rsidDel="00000000" w:rsidP="00000000" w:rsidRDefault="00000000" w:rsidRPr="00000000" w14:paraId="00000011">
      <w:pPr>
        <w:pageBreakBefore w:val="0"/>
        <w:ind w:left="0" w:firstLine="0"/>
        <w:rPr>
          <w:rFonts w:ascii="Acme" w:cs="Acme" w:eastAsia="Acme" w:hAnsi="Acme"/>
          <w:b w:val="1"/>
          <w:sz w:val="16"/>
          <w:szCs w:val="16"/>
        </w:rPr>
      </w:pPr>
      <w:r w:rsidDel="00000000" w:rsidR="00000000" w:rsidRPr="00000000">
        <w:rPr>
          <w:rtl w:val="0"/>
        </w:rPr>
      </w:r>
    </w:p>
    <w:p w:rsidR="00000000" w:rsidDel="00000000" w:rsidP="00000000" w:rsidRDefault="00000000" w:rsidRPr="00000000" w14:paraId="00000012">
      <w:pPr>
        <w:pageBreakBefore w:val="0"/>
        <w:ind w:left="0" w:firstLine="0"/>
        <w:rPr>
          <w:rFonts w:ascii="Acme" w:cs="Acme" w:eastAsia="Acme" w:hAnsi="Acme"/>
          <w:sz w:val="22"/>
          <w:szCs w:val="22"/>
          <w:vertAlign w:val="baseline"/>
        </w:rPr>
      </w:pPr>
      <w:r w:rsidDel="00000000" w:rsidR="00000000" w:rsidRPr="00000000">
        <w:rPr>
          <w:rFonts w:ascii="Acme" w:cs="Acme" w:eastAsia="Acme" w:hAnsi="Acme"/>
          <w:b w:val="1"/>
          <w:sz w:val="22"/>
          <w:szCs w:val="22"/>
          <w:rtl w:val="0"/>
        </w:rPr>
        <w:t xml:space="preserve">R</w:t>
      </w:r>
      <w:r w:rsidDel="00000000" w:rsidR="00000000" w:rsidRPr="00000000">
        <w:rPr>
          <w:rFonts w:ascii="Acme" w:cs="Acme" w:eastAsia="Acme" w:hAnsi="Acme"/>
          <w:b w:val="1"/>
          <w:sz w:val="22"/>
          <w:szCs w:val="22"/>
          <w:vertAlign w:val="baseline"/>
          <w:rtl w:val="0"/>
        </w:rPr>
        <w:t xml:space="preserve">EQUIRED (M</w:t>
      </w:r>
      <w:r w:rsidDel="00000000" w:rsidR="00000000" w:rsidRPr="00000000">
        <w:rPr>
          <w:rFonts w:ascii="Acme" w:cs="Acme" w:eastAsia="Acme" w:hAnsi="Acme"/>
          <w:b w:val="1"/>
          <w:sz w:val="22"/>
          <w:szCs w:val="22"/>
          <w:rtl w:val="0"/>
        </w:rPr>
        <w:t xml:space="preserve">UST HAVE) </w:t>
      </w:r>
      <w:r w:rsidDel="00000000" w:rsidR="00000000" w:rsidRPr="00000000">
        <w:rPr>
          <w:rFonts w:ascii="Acme" w:cs="Acme" w:eastAsia="Acme" w:hAnsi="Acme"/>
          <w:b w:val="1"/>
          <w:sz w:val="22"/>
          <w:szCs w:val="22"/>
          <w:vertAlign w:val="baseline"/>
          <w:rtl w:val="0"/>
        </w:rPr>
        <w:t xml:space="preserve">MATERIALS:</w:t>
      </w:r>
      <w:r w:rsidDel="00000000" w:rsidR="00000000" w:rsidRPr="00000000">
        <w:rPr>
          <w:rtl w:val="0"/>
        </w:rPr>
      </w:r>
    </w:p>
    <w:p w:rsidR="00000000" w:rsidDel="00000000" w:rsidP="00000000" w:rsidRDefault="00000000" w:rsidRPr="00000000" w14:paraId="00000013">
      <w:pPr>
        <w:pageBreakBefore w:val="0"/>
        <w:rPr>
          <w:rFonts w:ascii="Acme" w:cs="Acme" w:eastAsia="Acme" w:hAnsi="Acme"/>
          <w:sz w:val="22"/>
          <w:szCs w:val="22"/>
        </w:rPr>
      </w:pPr>
      <w:r w:rsidDel="00000000" w:rsidR="00000000" w:rsidRPr="00000000">
        <w:rPr>
          <w:rFonts w:ascii="Acme" w:cs="Acme" w:eastAsia="Acme" w:hAnsi="Acme"/>
          <w:sz w:val="22"/>
          <w:szCs w:val="22"/>
          <w:rtl w:val="0"/>
        </w:rPr>
        <w:tab/>
        <w:t xml:space="preserve">Binder which will stay in class. Other materials will be provided by Ms. Tanner in class. </w:t>
      </w:r>
    </w:p>
    <w:p w:rsidR="00000000" w:rsidDel="00000000" w:rsidP="00000000" w:rsidRDefault="00000000" w:rsidRPr="00000000" w14:paraId="00000014">
      <w:pPr>
        <w:pageBreakBefore w:val="0"/>
        <w:rPr>
          <w:rFonts w:ascii="Acme" w:cs="Acme" w:eastAsia="Acme" w:hAnsi="Acme"/>
          <w:sz w:val="16"/>
          <w:szCs w:val="16"/>
        </w:rPr>
      </w:pPr>
      <w:r w:rsidDel="00000000" w:rsidR="00000000" w:rsidRPr="00000000">
        <w:rPr>
          <w:rtl w:val="0"/>
        </w:rPr>
      </w:r>
    </w:p>
    <w:p w:rsidR="00000000" w:rsidDel="00000000" w:rsidP="00000000" w:rsidRDefault="00000000" w:rsidRPr="00000000" w14:paraId="00000015">
      <w:pPr>
        <w:pageBreakBefore w:val="0"/>
        <w:ind w:left="0" w:firstLine="0"/>
        <w:rPr>
          <w:rFonts w:ascii="Acme" w:cs="Acme" w:eastAsia="Acme" w:hAnsi="Acme"/>
          <w:sz w:val="22"/>
          <w:szCs w:val="22"/>
          <w:vertAlign w:val="baseline"/>
        </w:rPr>
      </w:pPr>
      <w:r w:rsidDel="00000000" w:rsidR="00000000" w:rsidRPr="00000000">
        <w:rPr>
          <w:rFonts w:ascii="Acme" w:cs="Acme" w:eastAsia="Acme" w:hAnsi="Acme"/>
          <w:b w:val="1"/>
          <w:sz w:val="22"/>
          <w:szCs w:val="22"/>
          <w:vertAlign w:val="baseline"/>
          <w:rtl w:val="0"/>
        </w:rPr>
        <w:t xml:space="preserve">COURSE OUTLINE: </w:t>
      </w:r>
      <w:r w:rsidDel="00000000" w:rsidR="00000000" w:rsidRPr="00000000">
        <w:rPr>
          <w:rtl w:val="0"/>
        </w:rPr>
      </w:r>
    </w:p>
    <w:p w:rsidR="00000000" w:rsidDel="00000000" w:rsidP="00000000" w:rsidRDefault="00000000" w:rsidRPr="00000000" w14:paraId="00000016">
      <w:pPr>
        <w:pageBreakBefore w:val="0"/>
        <w:ind w:left="720" w:firstLine="0"/>
        <w:rPr>
          <w:rFonts w:ascii="Acme" w:cs="Acme" w:eastAsia="Acme" w:hAnsi="Acme"/>
          <w:sz w:val="22"/>
          <w:szCs w:val="22"/>
        </w:rPr>
      </w:pPr>
      <w:r w:rsidDel="00000000" w:rsidR="00000000" w:rsidRPr="00000000">
        <w:rPr>
          <w:rFonts w:ascii="Acme" w:cs="Acme" w:eastAsia="Acme" w:hAnsi="Acme"/>
          <w:sz w:val="22"/>
          <w:szCs w:val="22"/>
          <w:rtl w:val="0"/>
        </w:rPr>
        <w:t xml:space="preserve">We are going to learn from the Georgia “Standards of Excellence” found at:  </w:t>
      </w:r>
      <w:hyperlink r:id="rId6">
        <w:r w:rsidDel="00000000" w:rsidR="00000000" w:rsidRPr="00000000">
          <w:rPr>
            <w:rFonts w:ascii="Acme" w:cs="Acme" w:eastAsia="Acme" w:hAnsi="Acme"/>
            <w:color w:val="1155cc"/>
            <w:sz w:val="22"/>
            <w:szCs w:val="22"/>
            <w:u w:val="single"/>
            <w:rtl w:val="0"/>
          </w:rPr>
          <w:t xml:space="preserve">ttps://www.georgiastandards.org/Georgia-Standards/Pages/Social-Studies-United-States-History.aspx</w:t>
        </w:r>
      </w:hyperlink>
      <w:r w:rsidDel="00000000" w:rsidR="00000000" w:rsidRPr="00000000">
        <w:rPr>
          <w:rtl w:val="0"/>
        </w:rPr>
      </w:r>
    </w:p>
    <w:p w:rsidR="00000000" w:rsidDel="00000000" w:rsidP="00000000" w:rsidRDefault="00000000" w:rsidRPr="00000000" w14:paraId="00000017">
      <w:pPr>
        <w:pageBreakBefore w:val="0"/>
        <w:ind w:left="720" w:firstLine="0"/>
        <w:rPr>
          <w:rFonts w:ascii="Acme" w:cs="Acme" w:eastAsia="Acme" w:hAnsi="Acme"/>
          <w:sz w:val="22"/>
          <w:szCs w:val="22"/>
        </w:rPr>
      </w:pPr>
      <w:r w:rsidDel="00000000" w:rsidR="00000000" w:rsidRPr="00000000">
        <w:rPr>
          <w:rtl w:val="0"/>
        </w:rPr>
      </w:r>
    </w:p>
    <w:p w:rsidR="00000000" w:rsidDel="00000000" w:rsidP="00000000" w:rsidRDefault="00000000" w:rsidRPr="00000000" w14:paraId="00000018">
      <w:pPr>
        <w:pageBreakBefore w:val="0"/>
        <w:ind w:left="720" w:firstLine="0"/>
        <w:rPr>
          <w:rFonts w:ascii="Acme" w:cs="Acme" w:eastAsia="Acme" w:hAnsi="Acme"/>
          <w:sz w:val="22"/>
          <w:szCs w:val="22"/>
        </w:rPr>
      </w:pPr>
      <w:r w:rsidDel="00000000" w:rsidR="00000000" w:rsidRPr="00000000">
        <w:rPr>
          <w:rFonts w:ascii="Acme" w:cs="Acme" w:eastAsia="Acme" w:hAnsi="Acme"/>
          <w:sz w:val="22"/>
          <w:szCs w:val="22"/>
          <w:rtl w:val="0"/>
        </w:rPr>
        <w:t xml:space="preserve">There are 23 standards which will be covered before the Georgia Milestone Assessment. They are as follows:</w:t>
      </w:r>
    </w:p>
    <w:p w:rsidR="00000000" w:rsidDel="00000000" w:rsidP="00000000" w:rsidRDefault="00000000" w:rsidRPr="00000000" w14:paraId="00000019">
      <w:pPr>
        <w:pageBreakBefore w:val="0"/>
        <w:ind w:left="720" w:firstLine="0"/>
        <w:rPr>
          <w:rFonts w:ascii="Acme" w:cs="Acme" w:eastAsia="Acme" w:hAnsi="Acme"/>
          <w:sz w:val="22"/>
          <w:szCs w:val="22"/>
        </w:rPr>
      </w:pPr>
      <w:r w:rsidDel="00000000" w:rsidR="00000000" w:rsidRPr="00000000">
        <w:rPr>
          <w:rtl w:val="0"/>
        </w:rPr>
      </w:r>
    </w:p>
    <w:tbl>
      <w:tblPr>
        <w:tblStyle w:val="Table1"/>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2685"/>
        <w:gridCol w:w="2925"/>
        <w:tblGridChange w:id="0">
          <w:tblGrid>
            <w:gridCol w:w="4470"/>
            <w:gridCol w:w="2685"/>
            <w:gridCol w:w="2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2"/>
                <w:szCs w:val="22"/>
              </w:rPr>
            </w:pPr>
            <w:r w:rsidDel="00000000" w:rsidR="00000000" w:rsidRPr="00000000">
              <w:rPr>
                <w:rFonts w:ascii="Acme" w:cs="Acme" w:eastAsia="Acme" w:hAnsi="Acme"/>
                <w:sz w:val="22"/>
                <w:szCs w:val="22"/>
                <w:rtl w:val="0"/>
              </w:rPr>
              <w:t xml:space="preserve">Time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ind w:left="0" w:firstLine="0"/>
              <w:jc w:val="center"/>
              <w:rPr>
                <w:rFonts w:ascii="Acme" w:cs="Acme" w:eastAsia="Acme" w:hAnsi="Acme"/>
                <w:sz w:val="22"/>
                <w:szCs w:val="22"/>
              </w:rPr>
            </w:pPr>
            <w:r w:rsidDel="00000000" w:rsidR="00000000" w:rsidRPr="00000000">
              <w:rPr>
                <w:rFonts w:ascii="Acme" w:cs="Acme" w:eastAsia="Acme" w:hAnsi="Acme"/>
                <w:sz w:val="22"/>
                <w:szCs w:val="22"/>
                <w:rtl w:val="0"/>
              </w:rPr>
              <w:t xml:space="preserve">Georgia Standards of Excellence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i w:val="1"/>
                <w:sz w:val="22"/>
                <w:szCs w:val="22"/>
              </w:rPr>
            </w:pPr>
            <w:r w:rsidDel="00000000" w:rsidR="00000000" w:rsidRPr="00000000">
              <w:rPr>
                <w:rFonts w:ascii="Acme" w:cs="Acme" w:eastAsia="Acme" w:hAnsi="Acme"/>
                <w:sz w:val="22"/>
                <w:szCs w:val="22"/>
                <w:rtl w:val="0"/>
              </w:rPr>
              <w:t xml:space="preserve">Chapters in </w:t>
            </w:r>
            <w:r w:rsidDel="00000000" w:rsidR="00000000" w:rsidRPr="00000000">
              <w:rPr>
                <w:rFonts w:ascii="Acme" w:cs="Acme" w:eastAsia="Acme" w:hAnsi="Acme"/>
                <w:i w:val="1"/>
                <w:sz w:val="22"/>
                <w:szCs w:val="22"/>
                <w:rtl w:val="0"/>
              </w:rPr>
              <w:t xml:space="preserve">A Nation Conceived in Liberty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Colonization through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ind w:left="0" w:firstLine="0"/>
              <w:rPr>
                <w:rFonts w:ascii="Acme" w:cs="Acme" w:eastAsia="Acme" w:hAnsi="Acme"/>
                <w:sz w:val="22"/>
                <w:szCs w:val="22"/>
              </w:rPr>
            </w:pPr>
            <w:r w:rsidDel="00000000" w:rsidR="00000000" w:rsidRPr="00000000">
              <w:rPr>
                <w:rFonts w:ascii="Acme" w:cs="Acme" w:eastAsia="Acme" w:hAnsi="Acme"/>
                <w:sz w:val="22"/>
                <w:szCs w:val="22"/>
                <w:rtl w:val="0"/>
              </w:rPr>
              <w:t xml:space="preserve">SSUSH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New Republic through Reconstruction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rFonts w:ascii="Acme" w:cs="Acme" w:eastAsia="Acme" w:hAnsi="Acme"/>
                <w:sz w:val="22"/>
                <w:szCs w:val="22"/>
              </w:rPr>
            </w:pPr>
            <w:r w:rsidDel="00000000" w:rsidR="00000000" w:rsidRPr="00000000">
              <w:rPr>
                <w:rFonts w:ascii="Acme" w:cs="Acme" w:eastAsia="Acme" w:hAnsi="Acme"/>
                <w:sz w:val="22"/>
                <w:szCs w:val="22"/>
                <w:rtl w:val="0"/>
              </w:rPr>
              <w:t xml:space="preserve">SSUSH 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4-7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Industrialization, Reform, and Imperialism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ind w:left="0" w:firstLine="0"/>
              <w:rPr>
                <w:rFonts w:ascii="Acme" w:cs="Acme" w:eastAsia="Acme" w:hAnsi="Acme"/>
                <w:sz w:val="22"/>
                <w:szCs w:val="22"/>
              </w:rPr>
            </w:pPr>
            <w:r w:rsidDel="00000000" w:rsidR="00000000" w:rsidRPr="00000000">
              <w:rPr>
                <w:rFonts w:ascii="Acme" w:cs="Acme" w:eastAsia="Acme" w:hAnsi="Acme"/>
                <w:sz w:val="22"/>
                <w:szCs w:val="22"/>
                <w:rtl w:val="0"/>
              </w:rPr>
              <w:t xml:space="preserve">SSUSH 11-14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8-11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Establishment as a World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rFonts w:ascii="Acme" w:cs="Acme" w:eastAsia="Acme" w:hAnsi="Acme"/>
                <w:sz w:val="22"/>
                <w:szCs w:val="22"/>
              </w:rPr>
            </w:pPr>
            <w:r w:rsidDel="00000000" w:rsidR="00000000" w:rsidRPr="00000000">
              <w:rPr>
                <w:rFonts w:ascii="Acme" w:cs="Acme" w:eastAsia="Acme" w:hAnsi="Acme"/>
                <w:sz w:val="22"/>
                <w:szCs w:val="22"/>
                <w:rtl w:val="0"/>
              </w:rPr>
              <w:t xml:space="preserve">SSUSH 15-19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12-15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Post-World War II to Modern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ind w:left="0" w:firstLine="0"/>
              <w:rPr>
                <w:rFonts w:ascii="Acme" w:cs="Acme" w:eastAsia="Acme" w:hAnsi="Acme"/>
                <w:sz w:val="22"/>
                <w:szCs w:val="22"/>
              </w:rPr>
            </w:pPr>
            <w:r w:rsidDel="00000000" w:rsidR="00000000" w:rsidRPr="00000000">
              <w:rPr>
                <w:rFonts w:ascii="Acme" w:cs="Acme" w:eastAsia="Acme" w:hAnsi="Acme"/>
                <w:sz w:val="22"/>
                <w:szCs w:val="22"/>
                <w:rtl w:val="0"/>
              </w:rPr>
              <w:t xml:space="preserve">SSUSH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2"/>
                <w:szCs w:val="22"/>
              </w:rPr>
            </w:pPr>
            <w:r w:rsidDel="00000000" w:rsidR="00000000" w:rsidRPr="00000000">
              <w:rPr>
                <w:rFonts w:ascii="Acme" w:cs="Acme" w:eastAsia="Acme" w:hAnsi="Acme"/>
                <w:sz w:val="22"/>
                <w:szCs w:val="22"/>
                <w:rtl w:val="0"/>
              </w:rPr>
              <w:t xml:space="preserve">16-19</w:t>
            </w:r>
          </w:p>
        </w:tc>
      </w:tr>
    </w:tbl>
    <w:p w:rsidR="00000000" w:rsidDel="00000000" w:rsidP="00000000" w:rsidRDefault="00000000" w:rsidRPr="00000000" w14:paraId="0000002C">
      <w:pPr>
        <w:pageBreakBefore w:val="0"/>
        <w:spacing w:line="276" w:lineRule="auto"/>
        <w:rPr>
          <w:rFonts w:ascii="Acme" w:cs="Acme" w:eastAsia="Acme" w:hAnsi="Acme"/>
          <w:b w:val="1"/>
          <w:sz w:val="22"/>
          <w:szCs w:val="22"/>
        </w:rPr>
      </w:pPr>
      <w:r w:rsidDel="00000000" w:rsidR="00000000" w:rsidRPr="00000000">
        <w:rPr>
          <w:rFonts w:ascii="Acme" w:cs="Acme" w:eastAsia="Acme" w:hAnsi="Acme"/>
          <w:b w:val="1"/>
          <w:sz w:val="22"/>
          <w:szCs w:val="22"/>
          <w:rtl w:val="0"/>
        </w:rPr>
        <w:t xml:space="preserve">Expectations</w:t>
      </w:r>
    </w:p>
    <w:p w:rsidR="00000000" w:rsidDel="00000000" w:rsidP="00000000" w:rsidRDefault="00000000" w:rsidRPr="00000000" w14:paraId="0000002D">
      <w:pPr>
        <w:numPr>
          <w:ilvl w:val="0"/>
          <w:numId w:val="1"/>
        </w:numPr>
        <w:ind w:left="720" w:hanging="360"/>
        <w:rPr>
          <w:rFonts w:ascii="Acme" w:cs="Acme" w:eastAsia="Acme" w:hAnsi="Acme"/>
          <w:sz w:val="22"/>
          <w:szCs w:val="22"/>
          <w:u w:val="none"/>
        </w:rPr>
      </w:pPr>
      <w:r w:rsidDel="00000000" w:rsidR="00000000" w:rsidRPr="00000000">
        <w:rPr>
          <w:rFonts w:ascii="Acme" w:cs="Acme" w:eastAsia="Acme" w:hAnsi="Acme"/>
          <w:sz w:val="22"/>
          <w:szCs w:val="22"/>
          <w:rtl w:val="0"/>
        </w:rPr>
        <w:t xml:space="preserve">Attendance</w:t>
      </w:r>
    </w:p>
    <w:p w:rsidR="00000000" w:rsidDel="00000000" w:rsidP="00000000" w:rsidRDefault="00000000" w:rsidRPr="00000000" w14:paraId="0000002E">
      <w:pPr>
        <w:numPr>
          <w:ilvl w:val="0"/>
          <w:numId w:val="1"/>
        </w:numPr>
        <w:ind w:left="720" w:hanging="360"/>
        <w:rPr>
          <w:rFonts w:ascii="Acme" w:cs="Acme" w:eastAsia="Acme" w:hAnsi="Acme"/>
          <w:sz w:val="22"/>
          <w:szCs w:val="22"/>
          <w:u w:val="none"/>
        </w:rPr>
      </w:pPr>
      <w:r w:rsidDel="00000000" w:rsidR="00000000" w:rsidRPr="00000000">
        <w:rPr>
          <w:rFonts w:ascii="Acme" w:cs="Acme" w:eastAsia="Acme" w:hAnsi="Acme"/>
          <w:sz w:val="22"/>
          <w:szCs w:val="22"/>
          <w:rtl w:val="0"/>
        </w:rPr>
        <w:t xml:space="preserve">Putting forth effort</w:t>
      </w:r>
    </w:p>
    <w:p w:rsidR="00000000" w:rsidDel="00000000" w:rsidP="00000000" w:rsidRDefault="00000000" w:rsidRPr="00000000" w14:paraId="0000002F">
      <w:pPr>
        <w:numPr>
          <w:ilvl w:val="0"/>
          <w:numId w:val="1"/>
        </w:numPr>
        <w:ind w:left="720" w:hanging="360"/>
        <w:rPr>
          <w:rFonts w:ascii="Acme" w:cs="Acme" w:eastAsia="Acme" w:hAnsi="Acme"/>
          <w:sz w:val="22"/>
          <w:szCs w:val="22"/>
          <w:u w:val="none"/>
        </w:rPr>
      </w:pPr>
      <w:r w:rsidDel="00000000" w:rsidR="00000000" w:rsidRPr="00000000">
        <w:rPr>
          <w:rFonts w:ascii="Acme" w:cs="Acme" w:eastAsia="Acme" w:hAnsi="Acme"/>
          <w:sz w:val="22"/>
          <w:szCs w:val="22"/>
          <w:rtl w:val="0"/>
        </w:rPr>
        <w:t xml:space="preserve">Ask questions</w:t>
      </w:r>
    </w:p>
    <w:p w:rsidR="00000000" w:rsidDel="00000000" w:rsidP="00000000" w:rsidRDefault="00000000" w:rsidRPr="00000000" w14:paraId="00000030">
      <w:pPr>
        <w:numPr>
          <w:ilvl w:val="0"/>
          <w:numId w:val="1"/>
        </w:numPr>
        <w:ind w:left="720" w:hanging="360"/>
        <w:rPr>
          <w:rFonts w:ascii="Acme" w:cs="Acme" w:eastAsia="Acme" w:hAnsi="Acme"/>
          <w:sz w:val="22"/>
          <w:szCs w:val="22"/>
          <w:u w:val="none"/>
        </w:rPr>
      </w:pPr>
      <w:r w:rsidDel="00000000" w:rsidR="00000000" w:rsidRPr="00000000">
        <w:rPr>
          <w:rFonts w:ascii="Acme" w:cs="Acme" w:eastAsia="Acme" w:hAnsi="Acme"/>
          <w:sz w:val="22"/>
          <w:szCs w:val="22"/>
          <w:rtl w:val="0"/>
        </w:rPr>
        <w:t xml:space="preserve">Follow directions when given</w:t>
      </w:r>
    </w:p>
    <w:p w:rsidR="00000000" w:rsidDel="00000000" w:rsidP="00000000" w:rsidRDefault="00000000" w:rsidRPr="00000000" w14:paraId="00000031">
      <w:pPr>
        <w:ind w:left="0" w:firstLine="0"/>
        <w:rPr>
          <w:rFonts w:ascii="Acme" w:cs="Acme" w:eastAsia="Acme" w:hAnsi="Acme"/>
          <w:sz w:val="22"/>
          <w:szCs w:val="22"/>
        </w:rPr>
      </w:pPr>
      <w:r w:rsidDel="00000000" w:rsidR="00000000" w:rsidRPr="00000000">
        <w:rPr>
          <w:rtl w:val="0"/>
        </w:rPr>
      </w:r>
    </w:p>
    <w:p w:rsidR="00000000" w:rsidDel="00000000" w:rsidP="00000000" w:rsidRDefault="00000000" w:rsidRPr="00000000" w14:paraId="00000032">
      <w:pPr>
        <w:rPr>
          <w:rFonts w:ascii="Acme" w:cs="Acme" w:eastAsia="Acme" w:hAnsi="Acme"/>
          <w:b w:val="1"/>
          <w:sz w:val="22"/>
          <w:szCs w:val="22"/>
        </w:rPr>
      </w:pPr>
      <w:r w:rsidDel="00000000" w:rsidR="00000000" w:rsidRPr="00000000">
        <w:rPr>
          <w:rFonts w:ascii="Acme" w:cs="Acme" w:eastAsia="Acme" w:hAnsi="Acme"/>
          <w:b w:val="1"/>
          <w:sz w:val="22"/>
          <w:szCs w:val="22"/>
          <w:rtl w:val="0"/>
        </w:rPr>
        <w:t xml:space="preserve">Makeup/Missing Work for Absent Students</w:t>
      </w:r>
    </w:p>
    <w:p w:rsidR="00000000" w:rsidDel="00000000" w:rsidP="00000000" w:rsidRDefault="00000000" w:rsidRPr="00000000" w14:paraId="00000033">
      <w:pPr>
        <w:rPr>
          <w:rFonts w:ascii="Acme" w:cs="Acme" w:eastAsia="Acme" w:hAnsi="Acme"/>
          <w:sz w:val="22"/>
          <w:szCs w:val="22"/>
        </w:rPr>
      </w:pPr>
      <w:r w:rsidDel="00000000" w:rsidR="00000000" w:rsidRPr="00000000">
        <w:rPr>
          <w:rFonts w:ascii="Acme" w:cs="Acme" w:eastAsia="Acme" w:hAnsi="Acme"/>
          <w:sz w:val="22"/>
          <w:szCs w:val="22"/>
          <w:rtl w:val="0"/>
        </w:rPr>
        <w:tab/>
        <w:t xml:space="preserve">See Ms. Tanner to get your missing assignments</w:t>
      </w:r>
    </w:p>
    <w:p w:rsidR="00000000" w:rsidDel="00000000" w:rsidP="00000000" w:rsidRDefault="00000000" w:rsidRPr="00000000" w14:paraId="00000034">
      <w:pPr>
        <w:rPr>
          <w:rFonts w:ascii="Acme" w:cs="Acme" w:eastAsia="Acme" w:hAnsi="Acme"/>
          <w:sz w:val="22"/>
          <w:szCs w:val="22"/>
        </w:rPr>
      </w:pPr>
      <w:r w:rsidDel="00000000" w:rsidR="00000000" w:rsidRPr="00000000">
        <w:rPr>
          <w:rtl w:val="0"/>
        </w:rPr>
      </w:r>
    </w:p>
    <w:p w:rsidR="00000000" w:rsidDel="00000000" w:rsidP="00000000" w:rsidRDefault="00000000" w:rsidRPr="00000000" w14:paraId="00000035">
      <w:pPr>
        <w:jc w:val="center"/>
        <w:rPr>
          <w:rFonts w:ascii="Acme" w:cs="Acme" w:eastAsia="Acme" w:hAnsi="Acme"/>
          <w:sz w:val="54"/>
          <w:szCs w:val="54"/>
        </w:rPr>
      </w:pPr>
      <w:r w:rsidDel="00000000" w:rsidR="00000000" w:rsidRPr="00000000">
        <w:rPr>
          <w:rFonts w:ascii="Acme" w:cs="Acme" w:eastAsia="Acme" w:hAnsi="Acme"/>
          <w:sz w:val="54"/>
          <w:szCs w:val="54"/>
          <w:rtl w:val="0"/>
        </w:rPr>
        <w:t xml:space="preserve">Students with IEP accommodations will be given those accommodations when assignments are given.</w:t>
      </w:r>
    </w:p>
    <w:p w:rsidR="00000000" w:rsidDel="00000000" w:rsidP="00000000" w:rsidRDefault="00000000" w:rsidRPr="00000000" w14:paraId="00000036">
      <w:pPr>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37">
      <w:pPr>
        <w:jc w:val="center"/>
        <w:rPr>
          <w:rFonts w:ascii="Acme" w:cs="Acme" w:eastAsia="Acme" w:hAnsi="Acme"/>
          <w:sz w:val="22"/>
          <w:szCs w:val="22"/>
        </w:rPr>
      </w:pPr>
      <w:r w:rsidDel="00000000" w:rsidR="00000000" w:rsidRPr="00000000">
        <w:rPr>
          <w:rFonts w:ascii="Acme" w:cs="Acme" w:eastAsia="Acme" w:hAnsi="Acme"/>
          <w:b w:val="1"/>
          <w:sz w:val="22"/>
          <w:szCs w:val="22"/>
          <w:rtl w:val="0"/>
        </w:rPr>
        <w:t xml:space="preserve">Students will abide by the policies of Thomas County Schools and Thomas County Central High School policies for tardiness, attendance, make-up work, and discipline. These policies will be strictly enforced.</w:t>
      </w:r>
      <w:r w:rsidDel="00000000" w:rsidR="00000000" w:rsidRPr="00000000">
        <w:rPr>
          <w:rtl w:val="0"/>
        </w:rPr>
      </w:r>
    </w:p>
    <w:p w:rsidR="00000000" w:rsidDel="00000000" w:rsidP="00000000" w:rsidRDefault="00000000" w:rsidRPr="00000000" w14:paraId="00000038">
      <w:pPr>
        <w:rPr>
          <w:rFonts w:ascii="Acme" w:cs="Acme" w:eastAsia="Acme" w:hAnsi="Acme"/>
          <w:sz w:val="22"/>
          <w:szCs w:val="22"/>
        </w:rPr>
      </w:pPr>
      <w:r w:rsidDel="00000000" w:rsidR="00000000" w:rsidRPr="00000000">
        <w:rPr>
          <w:rtl w:val="0"/>
        </w:rPr>
      </w:r>
    </w:p>
    <w:p w:rsidR="00000000" w:rsidDel="00000000" w:rsidP="00000000" w:rsidRDefault="00000000" w:rsidRPr="00000000" w14:paraId="00000039">
      <w:pPr>
        <w:pageBreakBefore w:val="0"/>
        <w:jc w:val="center"/>
        <w:rPr>
          <w:rFonts w:ascii="Acme" w:cs="Acme" w:eastAsia="Acme" w:hAnsi="Acme"/>
          <w:sz w:val="22"/>
          <w:szCs w:val="22"/>
        </w:rPr>
      </w:pPr>
      <w:r w:rsidDel="00000000" w:rsidR="00000000" w:rsidRPr="00000000">
        <w:rPr>
          <w:rtl w:val="0"/>
        </w:rPr>
      </w:r>
    </w:p>
    <w:p w:rsidR="00000000" w:rsidDel="00000000" w:rsidP="00000000" w:rsidRDefault="00000000" w:rsidRPr="00000000" w14:paraId="0000003A">
      <w:pPr>
        <w:spacing w:line="276" w:lineRule="auto"/>
        <w:jc w:val="center"/>
        <w:rPr>
          <w:rFonts w:ascii="Acme" w:cs="Acme" w:eastAsia="Acme" w:hAnsi="Acme"/>
          <w:b w:val="1"/>
          <w:sz w:val="22"/>
          <w:szCs w:val="22"/>
          <w:u w:val="single"/>
        </w:rPr>
      </w:pPr>
      <w:r w:rsidDel="00000000" w:rsidR="00000000" w:rsidRPr="00000000">
        <w:rPr>
          <w:rFonts w:ascii="Acme" w:cs="Acme" w:eastAsia="Acme" w:hAnsi="Acme"/>
          <w:b w:val="1"/>
          <w:sz w:val="22"/>
          <w:szCs w:val="22"/>
          <w:rtl w:val="0"/>
        </w:rPr>
        <w:t xml:space="preserve">US History Rigor Guidelines:</w:t>
      </w:r>
      <w:r w:rsidDel="00000000" w:rsidR="00000000" w:rsidRPr="00000000">
        <w:rPr>
          <w:rFonts w:ascii="Acme" w:cs="Acme" w:eastAsia="Acme" w:hAnsi="Acme"/>
          <w:b w:val="1"/>
          <w:sz w:val="22"/>
          <w:szCs w:val="22"/>
          <w:u w:val="single"/>
          <w:rtl w:val="0"/>
        </w:rPr>
        <w:t xml:space="preserve"> Upperclassman ONLY!!!</w:t>
      </w:r>
    </w:p>
    <w:p w:rsidR="00000000" w:rsidDel="00000000" w:rsidP="00000000" w:rsidRDefault="00000000" w:rsidRPr="00000000" w14:paraId="0000003B">
      <w:pPr>
        <w:spacing w:line="276" w:lineRule="auto"/>
        <w:jc w:val="center"/>
        <w:rPr>
          <w:rFonts w:ascii="Acme" w:cs="Acme" w:eastAsia="Acme" w:hAnsi="Acme"/>
          <w:sz w:val="22"/>
          <w:szCs w:val="22"/>
        </w:rPr>
      </w:pPr>
      <w:r w:rsidDel="00000000" w:rsidR="00000000" w:rsidRPr="00000000">
        <w:rPr>
          <w:rtl w:val="0"/>
        </w:rPr>
      </w:r>
    </w:p>
    <w:p w:rsidR="00000000" w:rsidDel="00000000" w:rsidP="00000000" w:rsidRDefault="00000000" w:rsidRPr="00000000" w14:paraId="0000003C">
      <w:pPr>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In addition to the standards based instruction that takes place in all US History classrooms, Advanced and Honors sections will participate in the following additional rigor requirements:</w:t>
        <w:br w:type="textWrapping"/>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rFonts w:ascii="Acme" w:cs="Acme" w:eastAsia="Acme" w:hAnsi="Acme"/>
                <w:sz w:val="22"/>
                <w:szCs w:val="22"/>
                <w:u w:val="single"/>
              </w:rPr>
            </w:pPr>
            <w:r w:rsidDel="00000000" w:rsidR="00000000" w:rsidRPr="00000000">
              <w:rPr>
                <w:rFonts w:ascii="Acme" w:cs="Acme" w:eastAsia="Acme" w:hAnsi="Acme"/>
                <w:sz w:val="22"/>
                <w:szCs w:val="22"/>
                <w:u w:val="single"/>
                <w:rtl w:val="0"/>
              </w:rPr>
              <w:t xml:space="preserve">Advanced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jc w:val="center"/>
              <w:rPr>
                <w:rFonts w:ascii="Acme" w:cs="Acme" w:eastAsia="Acme" w:hAnsi="Acme"/>
                <w:sz w:val="22"/>
                <w:szCs w:val="22"/>
                <w:u w:val="single"/>
              </w:rPr>
            </w:pPr>
            <w:r w:rsidDel="00000000" w:rsidR="00000000" w:rsidRPr="00000000">
              <w:rPr>
                <w:rFonts w:ascii="Acme" w:cs="Acme" w:eastAsia="Acme" w:hAnsi="Acme"/>
                <w:sz w:val="22"/>
                <w:szCs w:val="22"/>
                <w:u w:val="single"/>
                <w:rtl w:val="0"/>
              </w:rPr>
              <w:t xml:space="preserve">Honors Course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Read 1 historical fiction text per quarter chosen from a list of 4 novels. (4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Read 1 historical fiction text per quarter chosen from a list of 4 novels. (4 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Complete 2 in class literature circle activities based on text choice per quarter. (8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Complete 2 in class literature circle activities based on text choice per quarter. (8 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Complete 1 book review per quarter per text choice. (4 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Complete 1 book review per quarter per text choice. (4 total)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Chapter and Unit tests will consist of multiple choice and constructed response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Chapter and Unit tests will consist of multiple choice and constructed response questions.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cme" w:cs="Acme" w:eastAsia="Acme" w:hAnsi="Acm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Complete one Document  Based Question (DBQ) essay per quarter (4 total)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cme" w:cs="Acme" w:eastAsia="Acme" w:hAnsi="Acm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Participate in 1  essay competition per semester (2 total) from a list of contest options provided.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Acme" w:cs="Acme" w:eastAsia="Acme" w:hAnsi="Acme"/>
                <w:sz w:val="22"/>
                <w:szCs w:val="22"/>
              </w:rPr>
            </w:pPr>
            <w:r w:rsidDel="00000000" w:rsidR="00000000" w:rsidRPr="00000000">
              <w:rPr>
                <w:rFonts w:ascii="Acme" w:cs="Acme" w:eastAsia="Acme" w:hAnsi="Acme"/>
                <w:sz w:val="22"/>
                <w:szCs w:val="22"/>
                <w:rtl w:val="0"/>
              </w:rPr>
              <w:t xml:space="preserve">Students wishing to participate in National History Day projects may do so  on their own time.  However, work on the project  must be submitted in place of each essay grade and should be approved by the teacher in advance.</w:t>
            </w:r>
          </w:p>
        </w:tc>
      </w:tr>
    </w:tbl>
    <w:p w:rsidR="00000000" w:rsidDel="00000000" w:rsidP="00000000" w:rsidRDefault="00000000" w:rsidRPr="00000000" w14:paraId="0000004D">
      <w:pPr>
        <w:pageBreakBefore w:val="0"/>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4E">
      <w:pPr>
        <w:pageBreakBefore w:val="0"/>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4F">
      <w:pPr>
        <w:pageBreakBefore w:val="0"/>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-------------------------------------------------------------Please sign and return to your teacher.----------------------------------------------------------------- </w:t>
      </w:r>
    </w:p>
    <w:p w:rsidR="00000000" w:rsidDel="00000000" w:rsidP="00000000" w:rsidRDefault="00000000" w:rsidRPr="00000000" w14:paraId="00000050">
      <w:pPr>
        <w:pageBreakBefore w:val="0"/>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51">
      <w:pPr>
        <w:pageBreakBefore w:val="0"/>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I have read and understand the U.S. History Syllabus for U.S. History.</w:t>
      </w:r>
    </w:p>
    <w:p w:rsidR="00000000" w:rsidDel="00000000" w:rsidP="00000000" w:rsidRDefault="00000000" w:rsidRPr="00000000" w14:paraId="00000052">
      <w:pPr>
        <w:pageBreakBefore w:val="0"/>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53">
      <w:pPr>
        <w:pageBreakBefore w:val="0"/>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Date______________________________</w:t>
      </w:r>
    </w:p>
    <w:p w:rsidR="00000000" w:rsidDel="00000000" w:rsidP="00000000" w:rsidRDefault="00000000" w:rsidRPr="00000000" w14:paraId="00000054">
      <w:pPr>
        <w:pageBreakBefore w:val="0"/>
        <w:spacing w:line="276" w:lineRule="auto"/>
        <w:rPr>
          <w:rFonts w:ascii="Acme" w:cs="Acme" w:eastAsia="Acme" w:hAnsi="Acme"/>
          <w:sz w:val="22"/>
          <w:szCs w:val="22"/>
        </w:rPr>
      </w:pPr>
      <w:r w:rsidDel="00000000" w:rsidR="00000000" w:rsidRPr="00000000">
        <w:rPr>
          <w:rtl w:val="0"/>
        </w:rPr>
      </w:r>
    </w:p>
    <w:p w:rsidR="00000000" w:rsidDel="00000000" w:rsidP="00000000" w:rsidRDefault="00000000" w:rsidRPr="00000000" w14:paraId="00000055">
      <w:pPr>
        <w:pageBreakBefore w:val="0"/>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____________________________________________________</w:t>
        <w:tab/>
        <w:t xml:space="preserve">_______________________________________________________</w:t>
      </w:r>
    </w:p>
    <w:p w:rsidR="00000000" w:rsidDel="00000000" w:rsidP="00000000" w:rsidRDefault="00000000" w:rsidRPr="00000000" w14:paraId="00000056">
      <w:pPr>
        <w:pageBreakBefore w:val="0"/>
        <w:spacing w:line="276" w:lineRule="auto"/>
        <w:rPr>
          <w:rFonts w:ascii="Acme" w:cs="Acme" w:eastAsia="Acme" w:hAnsi="Acme"/>
          <w:sz w:val="22"/>
          <w:szCs w:val="22"/>
        </w:rPr>
      </w:pPr>
      <w:r w:rsidDel="00000000" w:rsidR="00000000" w:rsidRPr="00000000">
        <w:rPr>
          <w:rFonts w:ascii="Acme" w:cs="Acme" w:eastAsia="Acme" w:hAnsi="Acme"/>
          <w:sz w:val="22"/>
          <w:szCs w:val="22"/>
          <w:rtl w:val="0"/>
        </w:rPr>
        <w:t xml:space="preserve">Parent signature</w:t>
        <w:tab/>
        <w:tab/>
        <w:tab/>
        <w:tab/>
        <w:tab/>
        <w:t xml:space="preserve">Student signature </w:t>
      </w:r>
    </w:p>
    <w:p w:rsidR="00000000" w:rsidDel="00000000" w:rsidP="00000000" w:rsidRDefault="00000000" w:rsidRPr="00000000" w14:paraId="00000057">
      <w:pPr>
        <w:pageBreakBefore w:val="0"/>
        <w:spacing w:line="276" w:lineRule="auto"/>
        <w:rPr>
          <w:rFonts w:ascii="Acme" w:cs="Acme" w:eastAsia="Acme" w:hAnsi="Acme"/>
          <w:sz w:val="22"/>
          <w:szCs w:val="22"/>
        </w:rPr>
      </w:pPr>
      <w:r w:rsidDel="00000000" w:rsidR="00000000" w:rsidRPr="00000000">
        <w:rPr>
          <w:rtl w:val="0"/>
        </w:rPr>
      </w:r>
    </w:p>
    <w:sectPr>
      <w:headerReference r:id="rId7" w:type="even"/>
      <w:footerReference r:id="rId8" w:type="even"/>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cm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orgiastandards.org/Georgia-Standards/Pages/Social-Studies-United-States-History.aspx"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